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                        </w:t>
        <w:tab/>
      </w:r>
      <w:r w:rsidDel="00000000" w:rsidR="00000000" w:rsidRPr="00000000">
        <w:rPr>
          <w:rtl w:val="0"/>
        </w:rPr>
        <w:t xml:space="preserve">Referral &amp; Intervention Team Assistant</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Service                   </w:t>
        <w:tab/>
      </w:r>
      <w:r w:rsidDel="00000000" w:rsidR="00000000" w:rsidRPr="00000000">
        <w:rPr>
          <w:rtl w:val="0"/>
        </w:rPr>
        <w:t xml:space="preserve">R.E.A.L. Education Ltd</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                 </w:t>
        <w:tab/>
      </w:r>
      <w:r w:rsidDel="00000000" w:rsidR="00000000" w:rsidRPr="00000000">
        <w:rPr>
          <w:rtl w:val="0"/>
        </w:rPr>
        <w:t xml:space="preserve">Various Locations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      </w:t>
        <w:tab/>
      </w:r>
      <w:r w:rsidDel="00000000" w:rsidR="00000000" w:rsidRPr="00000000">
        <w:rPr>
          <w:rtl w:val="0"/>
        </w:rPr>
        <w:t xml:space="preserve">Referral Team Manager</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1"/>
        <w:tblW w:w="93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65"/>
        <w:gridCol w:w="1290"/>
        <w:gridCol w:w="1290"/>
        <w:tblGridChange w:id="0">
          <w:tblGrid>
            <w:gridCol w:w="6765"/>
            <w:gridCol w:w="1290"/>
            <w:gridCol w:w="12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Knowledge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Essential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Desirable</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 understanding of the speech language and communication difficulties faced by young people and vulnerable adults with additional educational needs and current issues and practice in relation to this.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understanding of the relevant legislation and statutory guidance relating to the education of young people and vulnerable adults with additional educational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Knowledge of the variety of different assessment methods employed by statutory and voluntary agencies, education providers and some understanding regarding how to analyse information and use in planning programmes of support.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Knowledge of how to administer contemporary assessments in an education, health or social care field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Experience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Two years experience of working with children, young people or vulnerable adults in an education, health or social care setting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Demonstrate experience of working in a pastoral or support role with individual learners and in small groups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Assessing the needs of young people or vulnerable adults, including how to translate baseline information into realistic programmes of provision and/or support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Producing good quality data for School Evaluation Frameworks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Delivery of a variety of different assessments (either statutory or voluntary), planning and reviews to young people and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Skills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 collaboratively within multi-agency environments reviewing young people or vulnerable adults expected progress and utilising good case management skills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Demonstrate a wide variety of ICT skills (e.g. in particular the products associated with Google+) including recording information on databases and use of MIS systems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Ability to plan and prepare innovative and creative activities to re-engage reluctant learners and work on own initiative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demonstrate effective communication skills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negotiate and deliver realistic packages of support with commissioners, young people, vulnerable adults and their families effectively, and in accordance with agreed provision through the Referral and Assessment Coordinators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Education and Training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hold a minimum of a level 3 qualification in an education, health or social care area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be able to produce evidence of previous continuous professional development (e.g. safeguarding training)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produce evidence of achieved/working specialised training in a relevant field (e.g. L3 ASD Training, AIM Assessment)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jc w:val="center"/>
              <w:rPr>
                <w:highlight w:val="yellow"/>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Qualities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Must hold a UK driving licence and have access to a legal road worthy vehicle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Must adhere to all Real Education Ltd, Real Independent School and Real Alternative Provision School policies, procedures and practices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committed to delivering holistic family interventions and providing ongoing positive outcomes to children, young people and vulnerable adults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Where internal employees do not meet particular essential criteria but have proven outstanding performance the organisation reserves the right to further progress their application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headerReference r:id="rId7" w:type="default"/>
      <w:footerReference r:id="rId8" w:type="first"/>
      <w:pgSz w:h="15840" w:w="12240" w:orient="portrait"/>
      <w:pgMar w:bottom="1440.0000000000002" w:top="1440.0000000000002"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4076700</wp:posOffset>
          </wp:positionH>
          <wp:positionV relativeFrom="paragraph">
            <wp:posOffset>57150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