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Person Specification</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r>
      <w:r w:rsidDel="00000000" w:rsidR="00000000" w:rsidRPr="00000000">
        <w:rPr>
          <w:rtl w:val="0"/>
        </w:rPr>
        <w:t xml:space="preserve">        </w:t>
        <w:tab/>
        <w:tab/>
        <w:t xml:space="preserve">Site Specific Lead </w:t>
      </w:r>
      <w:r w:rsidDel="00000000" w:rsidR="00000000" w:rsidRPr="00000000">
        <w:rPr>
          <w:rtl w:val="0"/>
        </w:rPr>
        <w:t xml:space="preserve">Teacher</w:t>
      </w:r>
      <w:r w:rsidDel="00000000" w:rsidR="00000000" w:rsidRPr="00000000">
        <w:rPr>
          <w:rtl w:val="0"/>
        </w:rPr>
        <w:t xml:space="preserve">    </w:t>
        <w:tab/>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0" w:firstLine="0"/>
        <w:rPr>
          <w:highlight w:val="yellow"/>
        </w:rPr>
      </w:pPr>
      <w:r w:rsidDel="00000000" w:rsidR="00000000" w:rsidRPr="00000000">
        <w:rPr>
          <w:b w:val="1"/>
          <w:rtl w:val="0"/>
        </w:rPr>
        <w:t xml:space="preserve">Service</w:t>
      </w:r>
      <w:r w:rsidDel="00000000" w:rsidR="00000000" w:rsidRPr="00000000">
        <w:rPr>
          <w:rtl w:val="0"/>
        </w:rPr>
        <w:t xml:space="preserve">         </w:t>
        <w:tab/>
        <w:tab/>
        <w:t xml:space="preserve">Real Independent School</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r>
      <w:r w:rsidDel="00000000" w:rsidR="00000000" w:rsidRPr="00000000">
        <w:rPr>
          <w:rtl w:val="0"/>
        </w:rPr>
        <w:t xml:space="preserve"> </w:t>
        <w:tab/>
        <w:tab/>
        <w:t xml:space="preserve">Various</w:t>
        <w:tab/>
        <w:t xml:space="preserve">        </w:t>
        <w:tab/>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rtl w:val="0"/>
        </w:rPr>
        <w:t xml:space="preserve">Accountable to</w:t>
      </w:r>
      <w:r w:rsidDel="00000000" w:rsidR="00000000" w:rsidRPr="00000000">
        <w:rPr>
          <w:rtl w:val="0"/>
        </w:rPr>
        <w:t xml:space="preserve">  </w:t>
        <w:tab/>
        <w:t xml:space="preserve">TBC</w:t>
      </w:r>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bl>
      <w:tblPr>
        <w:tblStyle w:val="Table1"/>
        <w:tblW w:w="9360.64914992272"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6900.6491499227195"/>
        <w:gridCol w:w="1275"/>
        <w:gridCol w:w="1185"/>
        <w:tblGridChange w:id="0">
          <w:tblGrid>
            <w:gridCol w:w="6900.6491499227195"/>
            <w:gridCol w:w="1275"/>
            <w:gridCol w:w="118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Knowledge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Essential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u w:val="single"/>
              </w:rPr>
            </w:pPr>
            <w:r w:rsidDel="00000000" w:rsidR="00000000" w:rsidRPr="00000000">
              <w:rPr>
                <w:sz w:val="20"/>
                <w:szCs w:val="20"/>
                <w:u w:val="single"/>
                <w:rtl w:val="0"/>
              </w:rPr>
              <w:t xml:space="preserve">Desirable</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Some awareness of current internal and external verification frameworks in curriculum areas and Ofsted inspection frameworks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Awareness of relevant legislation and guidance and implications for local policy, procedure and practice (e.g. The Children’s Act 2004, Children and Families Act 2014, Apprenticeship, Skills and Children Learning Act 2009)</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some knowledge regarding teaching practice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good curriculum knowledge in a range of curriculum areas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Experience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Two years experience of working with children and young people or vulnerable adults within an education setting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developing effective resources for young people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experience of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Skills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Able to demonstrate effective communication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a wide variety of ICT skills (e.g. an understanding of google cloud and associated applications, microsoft packages and </w:t>
            </w:r>
            <w:r w:rsidDel="00000000" w:rsidR="00000000" w:rsidRPr="00000000">
              <w:rPr>
                <w:rtl w:val="0"/>
              </w:rPr>
              <w:t xml:space="preserve">esafety</w:t>
            </w:r>
            <w:r w:rsidDel="00000000" w:rsidR="00000000" w:rsidRPr="00000000">
              <w:rPr>
                <w:rtl w:val="0"/>
              </w:rPr>
              <w:t xml:space="preserve">)</w:t>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Demonstrate effective record keeping with an awareness of the Data Protection Act and sharing information </w:t>
            </w:r>
            <w:r w:rsidDel="00000000" w:rsidR="00000000" w:rsidRPr="00000000">
              <w:rPr>
                <w:rtl w:val="0"/>
              </w:rPr>
              <w:t xml:space="preserve">protocols</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Can demonstrate recognised skills in working with young people or vulnerable adults with additional needs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Education and Training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hold a minimum Level 6 qualification in a relevant curriculum area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be able to produce evidence of previous curriculum specific CPD (e.g. up to date developments on curriculum)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Qualities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Must hold a UK Driving Licence and have access to a road worthy vehicle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Understand the importance of adhering to the organisation’s policies, procedures and practices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committed to delivering holistic family interventions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Be driven to provide positive outcomes to children, young people and vulnerable adults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 </w:t>
            </w:r>
          </w:p>
        </w:tc>
      </w:tr>
    </w:tbl>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Where internal employees do not meet particular essential criteria but have proven outstanding performance the organisation reserves the right to further progress their application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first"/>
      <w:headerReference r:id="rId7" w:type="default"/>
      <w:footerReference r:id="rId8" w:type="first"/>
      <w:pgSz w:h="15840" w:w="12240"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4076700</wp:posOffset>
          </wp:positionH>
          <wp:positionV relativeFrom="paragraph">
            <wp:posOffset>57150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